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val="0"/>
        <w:spacing w:after="0" w:line="240" w:lineRule="auto"/>
        <w:jc w:val="center"/>
        <w:rPr>
          <w:rFonts w:ascii="Garamond" w:hAnsi="Garamond" w:eastAsia="Calibri" w:cs="Times New Roman"/>
          <w:b/>
        </w:rPr>
      </w:pPr>
      <w:bookmarkStart w:id="0" w:name="_GoBack"/>
      <w:bookmarkEnd w:id="0"/>
      <w:r>
        <w:rPr>
          <w:rFonts w:ascii="Garamond" w:hAnsi="Garamond" w:eastAsia="Calibri" w:cs="Times New Roman"/>
          <w:b/>
          <w:bCs/>
          <w:sz w:val="28"/>
          <w:szCs w:val="28"/>
        </w:rPr>
        <w:t>STORIA, EVOLUZIONE E STRUTTURA DELLA SETTA FALUN GONG Quarta Parte</w:t>
      </w:r>
    </w:p>
    <w:p>
      <w:pPr>
        <w:keepNext/>
        <w:widowControl w:val="0"/>
        <w:spacing w:after="0" w:line="240" w:lineRule="auto"/>
        <w:ind w:firstLine="113"/>
        <w:jc w:val="both"/>
        <w:rPr>
          <w:rFonts w:ascii="Garamond" w:hAnsi="Garamond" w:eastAsia="Calibri" w:cs="Times New Roman"/>
          <w:b/>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r>
        <w:rPr>
          <w:rFonts w:ascii="Times New Roman" w:hAnsi="Times New Roman" w:cs="Times New Roman"/>
          <w:b/>
          <w:iCs/>
        </w:rPr>
        <w:t xml:space="preserve">COME LI HONGZHI </w:t>
      </w:r>
      <w:r>
        <w:rPr>
          <w:rFonts w:ascii="Times New Roman" w:hAnsi="Times New Roman" w:cs="Times New Roman"/>
          <w:b/>
          <w:iCs/>
          <w:caps/>
        </w:rPr>
        <w:t>CREò</w:t>
      </w:r>
      <w:r>
        <w:rPr>
          <w:rFonts w:ascii="Times New Roman" w:hAnsi="Times New Roman" w:cs="Times New Roman"/>
          <w:b/>
          <w:iCs/>
        </w:rPr>
        <w:t xml:space="preserve"> UN QUARTIER GENERALE OLTREMARE PER LA SUA SETTA, METTENDOSI A SERVIRE LE FORZE ANTICINESI</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Li Hongzhi aveva ben presenti le conseguenze di tali azioni contro il Governo cinese. </w:t>
      </w:r>
    </w:p>
    <w:p>
      <w:pPr>
        <w:spacing w:after="0" w:line="240" w:lineRule="auto"/>
        <w:jc w:val="both"/>
        <w:rPr>
          <w:rFonts w:ascii="Times New Roman" w:hAnsi="Times New Roman" w:cs="Times New Roman"/>
          <w:iCs/>
        </w:rPr>
      </w:pPr>
      <w:r>
        <w:rPr>
          <w:rFonts w:ascii="Times New Roman" w:hAnsi="Times New Roman" w:cs="Times New Roman"/>
          <w:iCs/>
        </w:rPr>
        <w:t>Dalla fine del 1994 ai primi mesi del 1995 fece richiesta di visto per gli Stati Uniti d’America per sé e per la sua famiglia; una volta sul suolo statunitense fece in modo di spostare la vasta fortuna che aveva ammassato, quindi fece richiesta di cittadinanza. </w:t>
      </w:r>
    </w:p>
    <w:p>
      <w:pPr>
        <w:spacing w:after="0" w:line="240" w:lineRule="auto"/>
        <w:jc w:val="both"/>
        <w:rPr>
          <w:rFonts w:ascii="Times New Roman" w:hAnsi="Times New Roman" w:cs="Times New Roman"/>
          <w:iCs/>
        </w:rPr>
      </w:pPr>
      <w:r>
        <w:rPr>
          <w:rFonts w:ascii="Times New Roman" w:hAnsi="Times New Roman" w:cs="Times New Roman"/>
          <w:iCs/>
        </w:rPr>
        <w:t>Quando gli aderenti della setta Falun Gong iniziarono ad assediare Zhongnanhai nell’aprile del 1999 Li Hongzhi si trovava all’estero da dove dirigeva le attività di disturbo e osservava la loro evoluzione. </w:t>
      </w:r>
    </w:p>
    <w:p>
      <w:pPr>
        <w:spacing w:after="0" w:line="240" w:lineRule="auto"/>
        <w:jc w:val="both"/>
        <w:rPr>
          <w:rFonts w:ascii="Times New Roman" w:hAnsi="Times New Roman" w:cs="Times New Roman"/>
          <w:iCs/>
        </w:rPr>
      </w:pPr>
      <w:r>
        <w:rPr>
          <w:rFonts w:ascii="Times New Roman" w:hAnsi="Times New Roman" w:cs="Times New Roman"/>
          <w:iCs/>
        </w:rPr>
        <w:t>Quando vide che il Governo cinese avrebbe preso serie iniziative contro la setta Falun Gong dapprima negò di aver organizzato l’incidente, quindi inizio ad affermare di essere perseguitato per motivi religiosi. </w:t>
      </w:r>
    </w:p>
    <w:p>
      <w:pPr>
        <w:spacing w:after="0" w:line="240" w:lineRule="auto"/>
        <w:jc w:val="both"/>
        <w:rPr>
          <w:rFonts w:ascii="Times New Roman" w:hAnsi="Times New Roman" w:cs="Times New Roman"/>
          <w:iCs/>
        </w:rPr>
      </w:pPr>
      <w:r>
        <w:rPr>
          <w:rFonts w:ascii="Times New Roman" w:hAnsi="Times New Roman" w:cs="Times New Roman"/>
          <w:iCs/>
        </w:rPr>
        <w:t>Il bando a cui il Governo cinese sottopose la setta Falun Gong ne fece collassare completamente la struttura nei territori della Cina continentale. </w:t>
      </w:r>
    </w:p>
    <w:p>
      <w:pPr>
        <w:spacing w:after="0" w:line="240" w:lineRule="auto"/>
        <w:jc w:val="both"/>
        <w:rPr>
          <w:rFonts w:ascii="Times New Roman" w:hAnsi="Times New Roman" w:cs="Times New Roman"/>
          <w:iCs/>
        </w:rPr>
      </w:pPr>
      <w:r>
        <w:rPr>
          <w:rFonts w:ascii="Times New Roman" w:hAnsi="Times New Roman" w:cs="Times New Roman"/>
          <w:iCs/>
        </w:rPr>
        <w:t>Una volta rivelata la natura perniciosa della setta Falun Gong e delle sue organizzazioni la maggior parte di coloro che vi aderivano la abbandonarono una volta per tutte e solo pochi membri e praticanti completamente succubi della dottrina di Li Hongzhi insistevano nelle loro posizioni. </w:t>
      </w:r>
    </w:p>
    <w:p>
      <w:pPr>
        <w:spacing w:after="0" w:line="240" w:lineRule="auto"/>
        <w:jc w:val="both"/>
        <w:rPr>
          <w:rFonts w:ascii="Times New Roman" w:hAnsi="Times New Roman" w:cs="Times New Roman"/>
          <w:iCs/>
        </w:rPr>
      </w:pPr>
      <w:r>
        <w:rPr>
          <w:rFonts w:ascii="Times New Roman" w:hAnsi="Times New Roman" w:cs="Times New Roman"/>
          <w:iCs/>
        </w:rPr>
        <w:t>Con le forti politiche attuate dal Governo cinese contro il Falun Gong le sue attività pubbliche come entità gerarchica organizzata cessarono completamente. </w:t>
      </w:r>
    </w:p>
    <w:p>
      <w:pPr>
        <w:spacing w:after="0" w:line="240" w:lineRule="auto"/>
        <w:jc w:val="both"/>
        <w:rPr>
          <w:rFonts w:ascii="Times New Roman" w:hAnsi="Times New Roman" w:cs="Times New Roman"/>
          <w:iCs/>
        </w:rPr>
      </w:pPr>
      <w:r>
        <w:rPr>
          <w:rFonts w:ascii="Times New Roman" w:hAnsi="Times New Roman" w:cs="Times New Roman"/>
          <w:iCs/>
        </w:rPr>
        <w:t>Da luglio del 1999 al 2000 Li Hongzhi sì nascose negli Stati Uniti evitando qualunque attività pubblica, secondo i suoi apologeti egli stava pacificamente osservando l’evoluzione della società, ma in realtà egli si teneva occupato con due tipi di attività. </w:t>
      </w:r>
    </w:p>
    <w:p>
      <w:pPr>
        <w:spacing w:after="0" w:line="240" w:lineRule="auto"/>
        <w:jc w:val="both"/>
        <w:rPr>
          <w:rFonts w:ascii="Times New Roman" w:hAnsi="Times New Roman" w:cs="Times New Roman"/>
          <w:iCs/>
        </w:rPr>
      </w:pPr>
      <w:r>
        <w:rPr>
          <w:rFonts w:ascii="Times New Roman" w:hAnsi="Times New Roman" w:cs="Times New Roman"/>
          <w:iCs/>
        </w:rPr>
        <w:t>Prima di tutto, vista la distruzione della setta Falun Gong nella Cina continentale, egli ricreò un quartier generale in esilio per la sua organizzazione; in secondo luogo, visto che le finanze della setta nelle sue propaggini estere erano in rovina iniziò pesantemente a cercare sostegno da lobby e organizzazioni anti cinesi. </w:t>
      </w:r>
    </w:p>
    <w:p>
      <w:pPr>
        <w:spacing w:after="0" w:line="240" w:lineRule="auto"/>
        <w:jc w:val="both"/>
        <w:rPr>
          <w:rFonts w:ascii="Times New Roman" w:hAnsi="Times New Roman" w:cs="Times New Roman"/>
          <w:iCs/>
        </w:rPr>
      </w:pPr>
      <w:r>
        <w:rPr>
          <w:rFonts w:ascii="Times New Roman" w:hAnsi="Times New Roman" w:cs="Times New Roman"/>
          <w:iCs/>
        </w:rPr>
        <w:t>Con l’aiuto di organizzazioni governative e occidentali la setta Falun Gong rinacque nel 2000. </w:t>
      </w:r>
    </w:p>
    <w:p>
      <w:pPr>
        <w:spacing w:after="0" w:line="240" w:lineRule="auto"/>
        <w:jc w:val="both"/>
        <w:rPr>
          <w:rFonts w:ascii="Times New Roman" w:hAnsi="Times New Roman" w:cs="Times New Roman"/>
          <w:iCs/>
        </w:rPr>
      </w:pPr>
      <w:r>
        <w:rPr>
          <w:rFonts w:ascii="Times New Roman" w:hAnsi="Times New Roman" w:cs="Times New Roman"/>
          <w:iCs/>
        </w:rPr>
        <w:t>Per accreditarsi presso i suoi nuovi padroni Li Hongzhi emise una specie di scomunica in cui chiedeva ai suoi seguaci per rimanergli fedeli di maledire il Governo cinese e la sua leadership con un “Fazhengnian”, una specie di malocchio della superstizione popolare. </w:t>
      </w:r>
    </w:p>
    <w:p>
      <w:pPr>
        <w:spacing w:after="0" w:line="240" w:lineRule="auto"/>
        <w:jc w:val="both"/>
        <w:rPr>
          <w:rFonts w:ascii="Times New Roman" w:hAnsi="Times New Roman" w:cs="Times New Roman"/>
          <w:iCs/>
        </w:rPr>
      </w:pPr>
      <w:r>
        <w:rPr>
          <w:rFonts w:ascii="Times New Roman" w:hAnsi="Times New Roman" w:cs="Times New Roman"/>
          <w:iCs/>
        </w:rPr>
        <w:t>Nel 2001 durante una riunione del Falun Gong tenutasi in Canada Li Hongzhi istigò i seguaci della setta a lanciare questa specie di maledizione collettiva sul Governo cinese, asserendo che quando adepti della setta avessero recitato collettivamente le frasi “Il Fa conquista l’universo e il male perisce” e “Il Fa domina il mondo e la vendetta segue il suo corso” il ‘diabolico’ governo cinese sarebbe stato distrutto. </w:t>
      </w:r>
    </w:p>
    <w:p>
      <w:pPr>
        <w:spacing w:after="0" w:line="240" w:lineRule="auto"/>
        <w:jc w:val="both"/>
        <w:rPr>
          <w:rFonts w:ascii="Times New Roman" w:hAnsi="Times New Roman" w:cs="Times New Roman"/>
          <w:iCs/>
        </w:rPr>
      </w:pPr>
      <w:r>
        <w:rPr>
          <w:rFonts w:ascii="Times New Roman" w:hAnsi="Times New Roman" w:cs="Times New Roman"/>
          <w:iCs/>
        </w:rPr>
        <w:t>Il sito web Minghui.net riporta che il 27 maggio 2001 lo stesso Li Hongzhi affermò di avere trasformato He Zuoxiu (uno scienziato cinese impegnato a combattere la setta Falun Gong) “in una massa di acqua sanguinolenta e velenosa” con la potenza della sua maledizione. </w:t>
      </w:r>
    </w:p>
    <w:p>
      <w:pPr>
        <w:spacing w:after="0" w:line="240" w:lineRule="auto"/>
        <w:jc w:val="both"/>
        <w:rPr>
          <w:rFonts w:ascii="Times New Roman" w:hAnsi="Times New Roman" w:cs="Times New Roman"/>
          <w:iCs/>
        </w:rPr>
      </w:pPr>
      <w:r>
        <w:rPr>
          <w:rFonts w:ascii="Times New Roman" w:hAnsi="Times New Roman" w:cs="Times New Roman"/>
          <w:iCs/>
        </w:rPr>
        <w:t>Il 13 ottobre 2002 lanciò un appello mondiale a tutti i seguaci della setta di lanciare la maledizione lo stesso giorno e allo stesso momento, asserendo che la loro forza di volontà focalizzandosi e concentrandosi avrebbe avuto il vigore di demolire ogni forza malvagia nell’universo e che avrebbero dovuto terminare la maledizione con la formula “Mie” (muori). </w:t>
      </w:r>
    </w:p>
    <w:p>
      <w:pPr>
        <w:spacing w:after="0" w:line="240" w:lineRule="auto"/>
        <w:jc w:val="both"/>
        <w:rPr>
          <w:rFonts w:ascii="Times New Roman" w:hAnsi="Times New Roman" w:cs="Times New Roman"/>
          <w:iCs/>
        </w:rPr>
      </w:pPr>
      <w:r>
        <w:rPr>
          <w:rFonts w:ascii="Times New Roman" w:hAnsi="Times New Roman" w:cs="Times New Roman"/>
          <w:iCs/>
        </w:rPr>
        <w:t>Queste ridicole affermazioni dimostrano quanto odio Li Hongzhi dovesse serbare verso il Governo cinese e i suoi rappresentanti. </w:t>
      </w:r>
    </w:p>
    <w:p>
      <w:pPr>
        <w:spacing w:after="0" w:line="240" w:lineRule="auto"/>
        <w:jc w:val="both"/>
        <w:rPr>
          <w:rFonts w:ascii="Times New Roman" w:hAnsi="Times New Roman" w:cs="Times New Roman"/>
          <w:iCs/>
        </w:rPr>
      </w:pPr>
      <w:r>
        <w:rPr>
          <w:rFonts w:ascii="Times New Roman" w:hAnsi="Times New Roman" w:cs="Times New Roman"/>
          <w:iCs/>
        </w:rPr>
        <w:t>Dal 2000 al 2005 Li Hongzhi stabili all’estero il quartier generale della nuova Falun Gong approfittando appieno dei finanziamenti e del sostegno dei suoi padroni occidentali. </w:t>
      </w:r>
    </w:p>
    <w:p>
      <w:pPr>
        <w:spacing w:after="0" w:line="240" w:lineRule="auto"/>
        <w:jc w:val="both"/>
        <w:rPr>
          <w:rFonts w:ascii="Times New Roman" w:hAnsi="Times New Roman" w:cs="Times New Roman"/>
          <w:iCs/>
        </w:rPr>
      </w:pPr>
      <w:r>
        <w:rPr>
          <w:rFonts w:ascii="Times New Roman" w:hAnsi="Times New Roman" w:cs="Times New Roman"/>
          <w:iCs/>
        </w:rPr>
        <w:t>La setta entrò in rapporto con molte associazioni non governative coordinate dai Governi occidentali per usare l’argomento diritti umani per interferire e danneggiare la sovranità dei paesi indipendenti. </w:t>
      </w:r>
    </w:p>
    <w:p>
      <w:pPr>
        <w:spacing w:after="0" w:line="240" w:lineRule="auto"/>
        <w:jc w:val="both"/>
        <w:rPr>
          <w:rFonts w:ascii="Times New Roman" w:hAnsi="Times New Roman" w:cs="Times New Roman"/>
          <w:iCs/>
        </w:rPr>
      </w:pPr>
      <w:r>
        <w:rPr>
          <w:rFonts w:ascii="Times New Roman" w:hAnsi="Times New Roman" w:cs="Times New Roman"/>
          <w:iCs/>
        </w:rPr>
        <w:t>Il suo tentativo era chiaro: cercare di attrarre attenzione, simpatia e ulteriori sostegno e finanziamenti raffigurandosi come un leader perseguitato dalle autorità cinesi. </w:t>
      </w:r>
    </w:p>
    <w:p>
      <w:pPr>
        <w:spacing w:after="0" w:line="240" w:lineRule="auto"/>
        <w:jc w:val="both"/>
        <w:rPr>
          <w:rFonts w:ascii="Times New Roman" w:hAnsi="Times New Roman" w:cs="Times New Roman"/>
          <w:iCs/>
        </w:rPr>
      </w:pPr>
      <w:r>
        <w:rPr>
          <w:rFonts w:ascii="Times New Roman" w:hAnsi="Times New Roman" w:cs="Times New Roman"/>
          <w:iCs/>
        </w:rPr>
        <w:t>Con questo metodo il Falun Gong iniziò a propagare i propri messaggi e a creare nuove sedi e nuove reti di relazione diffondendo una quantità di propaganda anti cinese e anticomunista. </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La setta tentò anche di tornare sulla Cina continentale inviandovi membri con la strategia di promuovere sviluppi domestici dalle sue basi estere. </w:t>
      </w:r>
    </w:p>
    <w:p>
      <w:pPr>
        <w:spacing w:after="0" w:line="240" w:lineRule="auto"/>
        <w:jc w:val="both"/>
        <w:rPr>
          <w:rFonts w:ascii="Times New Roman" w:hAnsi="Times New Roman" w:cs="Times New Roman"/>
          <w:iCs/>
        </w:rPr>
      </w:pPr>
      <w:r>
        <w:rPr>
          <w:rFonts w:ascii="Times New Roman" w:hAnsi="Times New Roman" w:cs="Times New Roman"/>
          <w:iCs/>
        </w:rPr>
        <w:t>Questi sforzi risultarono in un certo fermento in ambienti una volta legati alla setta nella Cina continentale e in qualche disturbanza alla quiete pubblica; questi eventi resero anche più difficile il percorso del recupero dei membri della setta che avevano iniziato a staccarsene grazie alle attività e alle iniziative governative ma in ultimo non ebbero grande impatto o conseguenze.</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r>
        <w:rPr>
          <w:rFonts w:ascii="Times New Roman" w:hAnsi="Times New Roman" w:cs="Times New Roman"/>
          <w:b/>
          <w:iCs/>
        </w:rPr>
        <w:t>COME IL FALUN GONG DIVENNE UN ELEMENTO CHIAVE DI MANOVRE ANTICINESI DIRETTE DA FORZE OCCIDENTALI (2005-2007)  </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Dal momento del bando il Falun Gong era praticamente scomparso dalla vita pubblica cinese, solo elementi emigrati notoriamente ostili al governo della Repubblica Popolare dall’estero continuavano a trasmettere i suoi messaggi verso una popolazione che non mostrava più alcun interesse o sollecitudine nei loro confronti. </w:t>
      </w:r>
    </w:p>
    <w:p>
      <w:pPr>
        <w:spacing w:after="0" w:line="240" w:lineRule="auto"/>
        <w:jc w:val="both"/>
        <w:rPr>
          <w:rFonts w:ascii="Times New Roman" w:hAnsi="Times New Roman" w:cs="Times New Roman"/>
          <w:iCs/>
        </w:rPr>
      </w:pPr>
      <w:r>
        <w:rPr>
          <w:rFonts w:ascii="Times New Roman" w:hAnsi="Times New Roman" w:cs="Times New Roman"/>
          <w:iCs/>
        </w:rPr>
        <w:t>Ciò che le forze occidentali anti cinesi considerano importante sarebbe che la setta recuperi un fondamento sociale in Cina, in modo che possa agire come portabandiera di altre organizzazioni e dei loro piani per penetrare, disturbare e danneggiare la vita pubblica e sociale nella Repubblica Popolare. </w:t>
      </w:r>
    </w:p>
    <w:p>
      <w:pPr>
        <w:spacing w:after="0" w:line="240" w:lineRule="auto"/>
        <w:jc w:val="both"/>
        <w:rPr>
          <w:rFonts w:ascii="Times New Roman" w:hAnsi="Times New Roman" w:cs="Times New Roman"/>
          <w:iCs/>
        </w:rPr>
      </w:pPr>
      <w:r>
        <w:rPr>
          <w:rFonts w:ascii="Times New Roman" w:hAnsi="Times New Roman" w:cs="Times New Roman"/>
          <w:iCs/>
        </w:rPr>
        <w:t>Questo fa sì che il Falun Gong sia diventata ormai completamente integrata in una relazione servo-padrone con le centrali occidentali anti cinesi.</w:t>
      </w:r>
    </w:p>
    <w:p>
      <w:pPr>
        <w:spacing w:after="0" w:line="240" w:lineRule="auto"/>
        <w:jc w:val="both"/>
        <w:rPr>
          <w:rFonts w:ascii="Times New Roman" w:hAnsi="Times New Roman" w:cs="Times New Roman"/>
          <w:iCs/>
        </w:rPr>
      </w:pPr>
      <w:r>
        <w:rPr>
          <w:rFonts w:ascii="Times New Roman" w:hAnsi="Times New Roman" w:cs="Times New Roman"/>
          <w:iCs/>
        </w:rPr>
        <w:t>In “Girando la Ruota della Legge” Li Hongzhi argomentava che il potere del Buddha si manifesta in tutto, dalle particelle alle molecole fino all’universo, percepisce ogni mistero senza alcun errore e trova differenti espressioni di verità, benevolenza e preveggenza, prendendo il nome di Tao o di Fa. </w:t>
      </w:r>
    </w:p>
    <w:p>
      <w:pPr>
        <w:spacing w:after="0" w:line="240" w:lineRule="auto"/>
        <w:jc w:val="both"/>
        <w:rPr>
          <w:rFonts w:ascii="Times New Roman" w:hAnsi="Times New Roman" w:cs="Times New Roman"/>
          <w:iCs/>
        </w:rPr>
      </w:pPr>
      <w:r>
        <w:rPr>
          <w:rFonts w:ascii="Times New Roman" w:hAnsi="Times New Roman" w:cs="Times New Roman"/>
          <w:iCs/>
        </w:rPr>
        <w:t>Tale argomentazione indicava abbastanza chiaramente come il Falun Gong si doveva considerare una religione, tuttavia nel 2006, Li Hongzhi cambiò idea e cercò ripetutamente di negare la natura religiosa del Falun Gong, evidentemente nel tentativo di smentire le prove portate dal Governo cinese a conferma della natura settaria di tale organizzazione. </w:t>
      </w:r>
    </w:p>
    <w:p>
      <w:pPr>
        <w:spacing w:after="0" w:line="240" w:lineRule="auto"/>
        <w:jc w:val="both"/>
        <w:rPr>
          <w:rFonts w:ascii="Times New Roman" w:hAnsi="Times New Roman" w:cs="Times New Roman"/>
          <w:iCs/>
        </w:rPr>
      </w:pPr>
      <w:r>
        <w:rPr>
          <w:rFonts w:ascii="Times New Roman" w:hAnsi="Times New Roman" w:cs="Times New Roman"/>
          <w:iCs/>
        </w:rPr>
        <w:t>Nel febbraio 2006, a un incontro del Falun Gong tenutosi a Los Angeles, Li Hongzhi disse che nessun aderente della setta avrebbe mai dovuto rispondere alla domanda se essa costituiva o meno una religione giacché non era importante quello che le persone e le autorità pensavano di essa. </w:t>
      </w:r>
    </w:p>
    <w:p>
      <w:pPr>
        <w:spacing w:after="0" w:line="240" w:lineRule="auto"/>
        <w:jc w:val="both"/>
        <w:rPr>
          <w:rFonts w:ascii="Times New Roman" w:hAnsi="Times New Roman" w:cs="Times New Roman"/>
          <w:iCs/>
        </w:rPr>
      </w:pPr>
      <w:r>
        <w:rPr>
          <w:rFonts w:ascii="Times New Roman" w:hAnsi="Times New Roman" w:cs="Times New Roman"/>
          <w:iCs/>
        </w:rPr>
        <w:t>In questa maniera egli approfittava della natura vaga e nebulosa del termine “religioso” e “religiosità” come sono comunemente accettati nelle società occidentali. </w:t>
      </w:r>
    </w:p>
    <w:p>
      <w:pPr>
        <w:spacing w:after="0" w:line="240" w:lineRule="auto"/>
        <w:jc w:val="both"/>
        <w:rPr>
          <w:rFonts w:ascii="Times New Roman" w:hAnsi="Times New Roman" w:cs="Times New Roman"/>
          <w:iCs/>
        </w:rPr>
      </w:pPr>
      <w:r>
        <w:rPr>
          <w:rFonts w:ascii="Times New Roman" w:hAnsi="Times New Roman" w:cs="Times New Roman"/>
          <w:iCs/>
        </w:rPr>
        <w:t>“Se qualcuno vi chiede se siete religiosi o no, non dovete rispondere, se il Governo, le autorità, le comunità sociali e i membri del Parlamento indicano che siete religiosi non dovete negarlo. Se questioni legali sono coinvolte, potete affrontarle con articoli correlati alla religione. Ricordate che in tali occasioni specialmente quando sono coinvolte questioni legali potete ammettere di essere religiosi. Questa è la differenza molto importante fra Oriente e Occidente e non offende la legge se viene menzionata, come ho già indicato nella mia opera “Chiave per il Vigore”, noi non siamo una religione anche se la gente può pensare che lo siamo. Ciascuno di voi deve avere molto ben chiaro questo mio insegnamento e queste mie raccomandazioni”. </w:t>
      </w:r>
    </w:p>
    <w:p>
      <w:pPr>
        <w:spacing w:after="0" w:line="240" w:lineRule="auto"/>
        <w:jc w:val="both"/>
        <w:rPr>
          <w:rFonts w:ascii="Times New Roman" w:hAnsi="Times New Roman" w:cs="Times New Roman"/>
          <w:iCs/>
        </w:rPr>
      </w:pPr>
      <w:r>
        <w:rPr>
          <w:rFonts w:ascii="Times New Roman" w:hAnsi="Times New Roman" w:cs="Times New Roman"/>
          <w:iCs/>
        </w:rPr>
        <w:t>È molto evidente in questo caso l’ambiguità con cui Li Hongzhi considera l’organizzazione che ha creato, pretendendo che sia o non sia una religione a seconda delle circostanze e delle convenienze. </w:t>
      </w:r>
    </w:p>
    <w:p>
      <w:pPr>
        <w:spacing w:after="0" w:line="240" w:lineRule="auto"/>
        <w:jc w:val="both"/>
        <w:rPr>
          <w:rFonts w:ascii="Times New Roman" w:hAnsi="Times New Roman" w:cs="Times New Roman"/>
          <w:iCs/>
        </w:rPr>
      </w:pPr>
      <w:r>
        <w:rPr>
          <w:rFonts w:ascii="Times New Roman" w:hAnsi="Times New Roman" w:cs="Times New Roman"/>
          <w:iCs/>
        </w:rPr>
        <w:t>In varie occasioni da quando risiede negli Stati Uniti ha negato di aver mai proibito ai suoi adepti di consultare i medici o seguire terapie mediche, eppure i casi di persone morte o rimaste gravemente menomate per aver trascurato le terapie e le indicazioni mediche sono ben noti e documentati. </w:t>
      </w:r>
    </w:p>
    <w:p>
      <w:pPr>
        <w:spacing w:after="0" w:line="240" w:lineRule="auto"/>
        <w:jc w:val="both"/>
        <w:rPr>
          <w:rFonts w:ascii="Times New Roman" w:hAnsi="Times New Roman" w:cs="Times New Roman"/>
          <w:iCs/>
        </w:rPr>
      </w:pPr>
      <w:r>
        <w:rPr>
          <w:rFonts w:ascii="Times New Roman" w:hAnsi="Times New Roman" w:cs="Times New Roman"/>
          <w:iCs/>
        </w:rPr>
        <w:t>Nel frattempo il Falun Gong ha ormai completato la propria trasformazione in una organizzazione politica anticomunista. Per esempio, il Falun Gong scientemente fabbrica e diffonde voci note come “Dicerie di Sujiatun”, che pretendono, fra le altre cose, che il governo Cinese espianti organi ai seguaci della setta rimasti in Cina, e si impegna in tutta una serie di attività per interferire con l’operato del Governo cinese all’estero e per danneggiare e calunniare il prestigio e la reputazione della Repubblica Popolare Cinese. </w:t>
      </w:r>
    </w:p>
    <w:p>
      <w:pPr>
        <w:spacing w:after="0" w:line="240" w:lineRule="auto"/>
        <w:jc w:val="both"/>
        <w:rPr>
          <w:rFonts w:ascii="Times New Roman" w:hAnsi="Times New Roman" w:cs="Times New Roman"/>
          <w:iCs/>
        </w:rPr>
      </w:pPr>
      <w:r>
        <w:rPr>
          <w:rFonts w:ascii="Times New Roman" w:hAnsi="Times New Roman" w:cs="Times New Roman"/>
          <w:iCs/>
        </w:rPr>
        <w:t>Quando la setta Falun Gong fuggì all’estero pretendeva di essere un’organizzazione spirituale incompresa e perseguitata, che portava un messaggio di salvezza. </w:t>
      </w:r>
    </w:p>
    <w:p>
      <w:pPr>
        <w:spacing w:after="0" w:line="240" w:lineRule="auto"/>
        <w:jc w:val="both"/>
        <w:rPr>
          <w:rFonts w:ascii="Times New Roman" w:hAnsi="Times New Roman" w:cs="Times New Roman"/>
          <w:iCs/>
        </w:rPr>
      </w:pPr>
      <w:r>
        <w:rPr>
          <w:rFonts w:ascii="Times New Roman" w:hAnsi="Times New Roman" w:cs="Times New Roman"/>
          <w:iCs/>
        </w:rPr>
        <w:t>Per questo motivo le forze anti cinesi internazionali non la consideravano un partner serio credibile o anche solo utile, tuttavia appena essa cominciò a mettere in opera queste virulente campagne di diffamazione le forze anti cinesi riconsiderarono la propria posizione e cominciarono a sostenere e a finanziare generosamente le attività della setta, specialmente a partire dal 2006 quando il Falun Gong iniziò a coordinarsi con la cosiddetta “Taiwan Independence Force”. </w:t>
      </w:r>
    </w:p>
    <w:p>
      <w:pPr>
        <w:spacing w:after="0" w:line="240" w:lineRule="auto"/>
        <w:jc w:val="both"/>
        <w:rPr>
          <w:rFonts w:ascii="Times New Roman" w:hAnsi="Times New Roman" w:cs="Times New Roman"/>
          <w:iCs/>
        </w:rPr>
      </w:pPr>
      <w:r>
        <w:rPr>
          <w:rFonts w:ascii="Times New Roman" w:hAnsi="Times New Roman" w:cs="Times New Roman"/>
          <w:iCs/>
        </w:rPr>
        <w:t>L’isola di Taiwan cominciò a venire penetrata da appartenenti alla setta che sostennero in tutti i modi la propaganda dei “Tre Abbandoni”. </w:t>
      </w:r>
    </w:p>
    <w:p>
      <w:pPr>
        <w:spacing w:after="0" w:line="240" w:lineRule="auto"/>
        <w:jc w:val="both"/>
        <w:rPr>
          <w:rFonts w:ascii="Times New Roman" w:hAnsi="Times New Roman" w:cs="Times New Roman"/>
          <w:iCs/>
        </w:rPr>
      </w:pPr>
      <w:r>
        <w:rPr>
          <w:rFonts w:ascii="Times New Roman" w:hAnsi="Times New Roman" w:cs="Times New Roman"/>
          <w:iCs/>
        </w:rPr>
        <w:t>L’articolo conosciuto come “Nove Commenti” fu pubblicato sul quotidiano “Epoch Times” per fungere da chiave del movimento taiwanese anti cinese. </w:t>
      </w:r>
    </w:p>
    <w:p>
      <w:pPr>
        <w:spacing w:after="0" w:line="240" w:lineRule="auto"/>
        <w:jc w:val="both"/>
        <w:rPr>
          <w:rFonts w:ascii="Times New Roman" w:hAnsi="Times New Roman" w:cs="Times New Roman"/>
          <w:iCs/>
        </w:rPr>
      </w:pPr>
      <w:r>
        <w:rPr>
          <w:rFonts w:ascii="Times New Roman" w:hAnsi="Times New Roman" w:cs="Times New Roman"/>
          <w:iCs/>
        </w:rPr>
        <w:t>Li Hongzhi si abbassò ulteriormente raccomandando ai pochi seguaci della setta che ancora rimanevano nella Cina continentale di diffondere e propagare tale articolo, addirittura asserendo che questa attività dovesse essere considerata come un precetto della setta stessa. </w:t>
      </w:r>
    </w:p>
    <w:p>
      <w:pPr>
        <w:spacing w:after="0" w:line="240" w:lineRule="auto"/>
        <w:jc w:val="both"/>
        <w:rPr>
          <w:rFonts w:ascii="Times New Roman" w:hAnsi="Times New Roman" w:cs="Times New Roman"/>
          <w:iCs/>
        </w:rPr>
      </w:pPr>
      <w:r>
        <w:rPr>
          <w:rFonts w:ascii="Times New Roman" w:hAnsi="Times New Roman" w:cs="Times New Roman"/>
          <w:iCs/>
        </w:rPr>
        <w:t>Più tardi lo stesso Li Hongzhi, lavorando in stretto contatto con gli attivisti anti cinesi, raccomandò di diffondere l’articolo sulla “Cultura Disaggregante del Partito Comunista”, anch’esso pubblicato sull’“Epoch Times”. </w:t>
      </w:r>
    </w:p>
    <w:p>
      <w:pPr>
        <w:spacing w:after="0" w:line="240" w:lineRule="auto"/>
        <w:jc w:val="both"/>
        <w:rPr>
          <w:rFonts w:ascii="Times New Roman" w:hAnsi="Times New Roman" w:cs="Times New Roman"/>
          <w:iCs/>
        </w:rPr>
      </w:pPr>
      <w:r>
        <w:rPr>
          <w:rFonts w:ascii="Times New Roman" w:hAnsi="Times New Roman" w:cs="Times New Roman"/>
          <w:iCs/>
        </w:rPr>
        <w:t>Tutto ciò si inseriva molto bene nella tradizionale avversione del Falun Gong verso il Governo della Repubblica Popolare Cinese, quasi che Li Hongzhi fosse convinto di poter demolire o rovesciare il Governo tramite queste sue attività. </w:t>
      </w:r>
    </w:p>
    <w:p>
      <w:pPr>
        <w:spacing w:after="0" w:line="240" w:lineRule="auto"/>
        <w:jc w:val="both"/>
        <w:rPr>
          <w:rFonts w:ascii="Times New Roman" w:hAnsi="Times New Roman" w:cs="Times New Roman"/>
          <w:iCs/>
        </w:rPr>
      </w:pPr>
      <w:r>
        <w:rPr>
          <w:rFonts w:ascii="Times New Roman" w:hAnsi="Times New Roman" w:cs="Times New Roman"/>
          <w:iCs/>
        </w:rPr>
        <w:t>Ci troviamo apparentemente di fronte a un nuovo processo di mutazione nella storia del Falun Gong, che per le convenienze della situazione in cui è venuta a trovarsi si sta trasformando sempre di più in un’organizzazione anticinese al servizio degli interessi occidentali, sarà questa la sua ultima trasformazione?</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rPr>
      </w:pPr>
      <w:r>
        <w:rPr>
          <w:rFonts w:ascii="Times New Roman" w:hAnsi="Times New Roman" w:cs="Times New Roman"/>
        </w:rPr>
        <w:t>Fonte www.facts.org.cn</w:t>
      </w:r>
    </w:p>
    <w:sectPr>
      <w:pgSz w:w="11906" w:h="16838"/>
      <w:pgMar w:top="1417" w:right="1134"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83"/>
    <w:rsid w:val="0008624D"/>
    <w:rsid w:val="000A2180"/>
    <w:rsid w:val="000C5920"/>
    <w:rsid w:val="00110C09"/>
    <w:rsid w:val="00146D7D"/>
    <w:rsid w:val="00223272"/>
    <w:rsid w:val="0022429E"/>
    <w:rsid w:val="00302883"/>
    <w:rsid w:val="00335747"/>
    <w:rsid w:val="003779E8"/>
    <w:rsid w:val="00432078"/>
    <w:rsid w:val="004807E0"/>
    <w:rsid w:val="004C5D17"/>
    <w:rsid w:val="00520947"/>
    <w:rsid w:val="00532574"/>
    <w:rsid w:val="006933BB"/>
    <w:rsid w:val="006C5980"/>
    <w:rsid w:val="006F0BEB"/>
    <w:rsid w:val="00903E7A"/>
    <w:rsid w:val="009771AB"/>
    <w:rsid w:val="009C3E3C"/>
    <w:rsid w:val="00A34E32"/>
    <w:rsid w:val="00AD0BA9"/>
    <w:rsid w:val="00BB00C9"/>
    <w:rsid w:val="00C07715"/>
    <w:rsid w:val="00C127DA"/>
    <w:rsid w:val="00C74ADE"/>
    <w:rsid w:val="00CC0FC2"/>
    <w:rsid w:val="00DC30E1"/>
    <w:rsid w:val="00E4523B"/>
    <w:rsid w:val="00EB6CED"/>
    <w:rsid w:val="00EC17EA"/>
    <w:rsid w:val="00EE607D"/>
    <w:rsid w:val="00F72AE4"/>
    <w:rsid w:val="00F91515"/>
    <w:rsid w:val="00FA2824"/>
    <w:rsid w:val="00FB718A"/>
    <w:rsid w:val="71993BD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t-IT" w:eastAsia="en-US"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819"/>
        <w:tab w:val="right" w:pos="9638"/>
      </w:tabs>
      <w:spacing w:after="0" w:line="240" w:lineRule="auto"/>
    </w:pPr>
  </w:style>
  <w:style w:type="paragraph" w:styleId="3">
    <w:name w:val="header"/>
    <w:basedOn w:val="1"/>
    <w:link w:val="7"/>
    <w:unhideWhenUsed/>
    <w:qFormat/>
    <w:uiPriority w:val="99"/>
    <w:pPr>
      <w:tabs>
        <w:tab w:val="center" w:pos="4819"/>
        <w:tab w:val="right" w:pos="9638"/>
      </w:tabs>
      <w:spacing w:after="0" w:line="240" w:lineRule="auto"/>
    </w:pPr>
  </w:style>
  <w:style w:type="character" w:styleId="5">
    <w:name w:val="Hyperlink"/>
    <w:basedOn w:val="4"/>
    <w:unhideWhenUsed/>
    <w:qFormat/>
    <w:uiPriority w:val="99"/>
    <w:rPr>
      <w:color w:val="0000FF" w:themeColor="hyperlink"/>
      <w:u w:val="single"/>
      <w14:textFill>
        <w14:solidFill>
          <w14:schemeClr w14:val="hlink"/>
        </w14:solidFill>
      </w14:textFill>
    </w:rPr>
  </w:style>
  <w:style w:type="character" w:customStyle="1" w:styleId="7">
    <w:name w:val="Intestazione Carattere"/>
    <w:basedOn w:val="4"/>
    <w:link w:val="3"/>
    <w:qFormat/>
    <w:uiPriority w:val="99"/>
  </w:style>
  <w:style w:type="character" w:customStyle="1" w:styleId="8">
    <w:name w:val="Piè di pagina Carattere"/>
    <w:basedOn w:val="4"/>
    <w:link w:val="2"/>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1600</Words>
  <Characters>9121</Characters>
  <Lines>76</Lines>
  <Paragraphs>21</Paragraphs>
  <TotalTime>122</TotalTime>
  <ScaleCrop>false</ScaleCrop>
  <LinksUpToDate>false</LinksUpToDate>
  <CharactersWithSpaces>10700</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2016-11-24T17:54:00Z</dcterms:created>
  <dc:creator>Super</dc:creator>
  <cp:lastModifiedBy>凡宇积极人生</cp:lastModifiedBy>
  <dcterms:modified xsi:type="dcterms:W3CDTF">2018-12-17T08:39:47Z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