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val="0"/>
        <w:spacing w:after="0" w:line="240" w:lineRule="auto"/>
        <w:jc w:val="center"/>
        <w:rPr>
          <w:rFonts w:ascii="Garamond" w:hAnsi="Garamond" w:eastAsia="Calibri" w:cs="Times New Roman"/>
          <w:b/>
        </w:rPr>
      </w:pPr>
      <w:bookmarkStart w:id="0" w:name="_GoBack"/>
      <w:bookmarkEnd w:id="0"/>
      <w:r>
        <w:rPr>
          <w:rFonts w:ascii="Garamond" w:hAnsi="Garamond" w:eastAsia="Calibri" w:cs="Times New Roman"/>
          <w:b/>
          <w:bCs/>
          <w:sz w:val="28"/>
          <w:szCs w:val="28"/>
        </w:rPr>
        <w:t>STORIA, EVOLUZIONE E STRUTTURA DELLA SETTA FALUN GONG Quinta e ultima Parte</w:t>
      </w:r>
    </w:p>
    <w:p>
      <w:pPr>
        <w:keepNext/>
        <w:widowControl w:val="0"/>
        <w:spacing w:after="0" w:line="240" w:lineRule="auto"/>
        <w:ind w:firstLine="113"/>
        <w:jc w:val="both"/>
        <w:rPr>
          <w:rFonts w:ascii="Garamond" w:hAnsi="Garamond" w:eastAsia="Calibri" w:cs="Times New Roman"/>
          <w:b/>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caps/>
        </w:rPr>
      </w:pPr>
      <w:r>
        <w:rPr>
          <w:rFonts w:ascii="Times New Roman" w:hAnsi="Times New Roman" w:cs="Times New Roman"/>
          <w:b/>
          <w:iCs/>
          <w:caps/>
        </w:rPr>
        <w:t>Quali saranno le prossime mosse della setta Falun Gong?</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Il Governo cinese ha mantenuto una rapida, stabile e soprattutto sostenibile crescita economica in questi ultimi trenta anni e le potenzialità della società cinese ne hanno complessivamente riportato grandi benefici. Tali risultati hanno causato grande preoccupazione presso le forze occidentali anti-cinesi e più e più volte sono sorte campagne di “deterrenza verso la Cina”. Queste ansietà hanno colpito anche i manipolatori e sostenitori della setta Falun Gong. Da quando essa è diventata una importante pedina delle forze anticinesi la sua natura anti-razionale, anti-scientifica e anti-umana non è cambiata affatto. Ma, d’altra parte, si è assistito a una sua progressiva “politicizzazione” che l’ha trasformata anche in uno strumento dell’aggressione anticinese le cui potenzialità nocive non vanno sottovalutate.</w:t>
      </w:r>
    </w:p>
    <w:p>
      <w:pPr>
        <w:spacing w:after="0" w:line="240" w:lineRule="auto"/>
        <w:jc w:val="both"/>
        <w:rPr>
          <w:rFonts w:ascii="Times New Roman" w:hAnsi="Times New Roman" w:cs="Times New Roman"/>
          <w:iCs/>
        </w:rPr>
      </w:pPr>
      <w:r>
        <w:rPr>
          <w:rFonts w:ascii="Times New Roman" w:hAnsi="Times New Roman" w:cs="Times New Roman"/>
          <w:iCs/>
        </w:rPr>
        <w:t>Prima del 2006, nonostante Li Hongzhi avesse già dimostrato di covare qualche ambizione ‘politica’ esse non venivano apertamente dimostrate; il 3 settembre 1996 aveva pubblicamente dichiarato che la pratica del Falun Gong non aveva significati politici e addirittura aveva sconsigliato la pratica del “Fa” a coloro che “portavano rancore e odio verso il Governo” in quanto tale sentimento non sarebbe stato in accordo con la ‘Legge Cosmica’.</w:t>
      </w:r>
    </w:p>
    <w:p>
      <w:pPr>
        <w:spacing w:after="0" w:line="240" w:lineRule="auto"/>
        <w:jc w:val="both"/>
        <w:rPr>
          <w:rFonts w:ascii="Times New Roman" w:hAnsi="Times New Roman" w:cs="Times New Roman"/>
          <w:iCs/>
        </w:rPr>
      </w:pPr>
      <w:r>
        <w:rPr>
          <w:rFonts w:ascii="Times New Roman" w:hAnsi="Times New Roman" w:cs="Times New Roman"/>
          <w:iCs/>
        </w:rPr>
        <w:t>Il 7 settembre del 1996 Hongzhi promise, nel libro “Il Dafa dura per sempre” che il Falun Gong “Non si occuperà mai di politica, non interferirà in affari di Stato”, giacché se lo avesse fatto avrebbe violato la benevolenza e la purezza del “Dafa”.</w:t>
      </w:r>
    </w:p>
    <w:p>
      <w:pPr>
        <w:spacing w:after="0" w:line="240" w:lineRule="auto"/>
        <w:jc w:val="both"/>
        <w:rPr>
          <w:rFonts w:ascii="Times New Roman" w:hAnsi="Times New Roman" w:cs="Times New Roman"/>
          <w:iCs/>
        </w:rPr>
      </w:pPr>
      <w:r>
        <w:rPr>
          <w:rFonts w:ascii="Times New Roman" w:hAnsi="Times New Roman" w:cs="Times New Roman"/>
          <w:iCs/>
        </w:rPr>
        <w:t>Ancora il 4 giugno 2001, quindi dopo il bando delle autorità cinesi, Hongzhi pubblicò l’articolo intitolato “Niente Politica” dove asseriva che il Falun Gong aspirava a diventare “Una forza per la giustizia” ma specificava che tale aspirazione non doveva essere intesa come una pretesa politica. In questo periodo la setta si era già impegnata in atti di intimidazione e propaganda anti-governativa eppure negava ancora di avere pretese politiche.</w:t>
      </w:r>
    </w:p>
    <w:p>
      <w:pPr>
        <w:spacing w:after="0" w:line="240" w:lineRule="auto"/>
        <w:jc w:val="both"/>
        <w:rPr>
          <w:rFonts w:ascii="Times New Roman" w:hAnsi="Times New Roman" w:cs="Times New Roman"/>
          <w:iCs/>
        </w:rPr>
      </w:pPr>
      <w:r>
        <w:rPr>
          <w:rFonts w:ascii="Times New Roman" w:hAnsi="Times New Roman" w:cs="Times New Roman"/>
          <w:iCs/>
        </w:rPr>
        <w:t>Il 21 febbraio 2007, infine, Hongzhi pubblicava il libro “Riflessioni sulla Politica” dove asseriva che, giacché la politica può rivelare fatti sulle persecuzioni e lottare per interromperle e può diffondere la verità nulla osta a che il Falun Gong possa fare uso della politica nella sua lotta contro il Governo cinese. Tale asserzione viene fatta in maniera completamente limpida, invitando esplicitamente i seguaci della setta a darsi alla politica e lottare contro il Governo. Oggidì, come abbiamo dimostrato in precedenza, il Falun Gong è un’organizzazione completamente politicizzata al servizio delle forze anti-cinesi occidentali.</w:t>
      </w:r>
    </w:p>
    <w:p>
      <w:pPr>
        <w:spacing w:after="0" w:line="240" w:lineRule="auto"/>
        <w:jc w:val="both"/>
        <w:rPr>
          <w:rFonts w:ascii="Times New Roman" w:hAnsi="Times New Roman" w:cs="Times New Roman"/>
          <w:iCs/>
        </w:rPr>
      </w:pPr>
      <w:r>
        <w:rPr>
          <w:rFonts w:ascii="Times New Roman" w:hAnsi="Times New Roman" w:cs="Times New Roman"/>
          <w:iCs/>
        </w:rPr>
        <w:t>Creando il Falun Gong Hongzhi sperava di assumere un ruolo di rilevanza mondiale; sperava di svilupparla fino a ottenere un’influenza pari a quella dei capi di Stato o dei grandi leader religiosi planetari. A tal fine egli decise che le altre religioni rappresentavano un ostacolo e una concorrenza inaccettabile. I praticanti devoti di religioni come Cristianesimo, Islam, Buddismo e Taoismo divennero, chi prima chi dopo, molto sospettosi del Falun Gong e delle sue pratiche. Hongzhi reagì con una acrimoniosa ostilità, arrivando a pubblicare un articolo intitolato “Disaggregare Comprensivamente gli Pseudo-Déi”, dove, in buona sostanza ‘dichiarava guerra’ alle religioni tradizionali asserendo che esse ‘impedivano’ alla gente di capire la Verità, ‘interferivano con la Legge Cosmica’ e, perciò, diventava compito dei seguaci del Falun Gong ‘disaggregarle’. Tali dichiarazioni fanno dubitare della saldezza di giudizio di Hongzhi.</w:t>
      </w:r>
    </w:p>
    <w:p>
      <w:pPr>
        <w:spacing w:after="0" w:line="240" w:lineRule="auto"/>
        <w:jc w:val="both"/>
        <w:rPr>
          <w:rFonts w:ascii="Times New Roman" w:hAnsi="Times New Roman" w:cs="Times New Roman"/>
          <w:iCs/>
        </w:rPr>
      </w:pPr>
      <w:r>
        <w:rPr>
          <w:rFonts w:ascii="Times New Roman" w:hAnsi="Times New Roman" w:cs="Times New Roman"/>
          <w:iCs/>
        </w:rPr>
        <w:t>L’evoluzione del Falun Gong, le sue ultime azioni e l’analisi delle azioni di Hongzhi, fanno stimare che nel prossimo futuro la setta continuerà a servire i suoi nuovi padroni come organizzazione anticinese e anticomunista, coordinando gli sforzi propagandistici, cercando di disturbare la politica estera e la diplomazia cinese, producendosi in campagne calunniose e altre simili attività. Cercherà inoltre di contattare elementi scontenti e antisociali nella Cina continentale per portarli dalla sua parte, fingendo di farlo sotto la bandiera dei ‘diritti umani’.</w:t>
      </w:r>
    </w:p>
    <w:p>
      <w:pPr>
        <w:spacing w:after="0" w:line="240" w:lineRule="auto"/>
        <w:jc w:val="both"/>
        <w:rPr>
          <w:rFonts w:ascii="Times New Roman" w:hAnsi="Times New Roman" w:cs="Times New Roman"/>
          <w:iCs/>
        </w:rPr>
      </w:pPr>
      <w:r>
        <w:rPr>
          <w:rFonts w:ascii="Times New Roman" w:hAnsi="Times New Roman" w:cs="Times New Roman"/>
          <w:iCs/>
        </w:rPr>
        <w:t>L’obiettivo finale, ovviamente, sarebbe quello di una ‘rivoluzione colorata’ che abbatta la Cina come potenza mondiale sovrana e autonoma.</w:t>
      </w:r>
    </w:p>
    <w:p>
      <w:pPr>
        <w:spacing w:after="0" w:line="240" w:lineRule="auto"/>
        <w:jc w:val="both"/>
        <w:rPr>
          <w:rFonts w:ascii="Times New Roman" w:hAnsi="Times New Roman" w:cs="Times New Roman"/>
          <w:iCs/>
        </w:rPr>
      </w:pPr>
      <w:r>
        <w:rPr>
          <w:rFonts w:ascii="Times New Roman" w:hAnsi="Times New Roman" w:cs="Times New Roman"/>
          <w:iCs/>
        </w:rPr>
        <w:t>Nel futuro la priorità del Falun Gong sarà: servire come strumento politico delle forze anticinesi occidentali, cercare in ogni modo di promuovere la propria influenza e sviluppare le proprie forze; denunciare attraverso articoli come “Nove Commenti sul Partito Comunista”, fabbricare voci e fake news come quelle di “Sujiatun” e quelle riguardo l’espianto di organi ai discepoli della setta, ovviamente cercando di fare apparire tali addebiti come “verità” da diffondere.</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rPr>
      </w:pPr>
    </w:p>
    <w:p>
      <w:pPr>
        <w:spacing w:after="0" w:line="240" w:lineRule="auto"/>
        <w:jc w:val="both"/>
        <w:rPr>
          <w:rFonts w:ascii="Times New Roman" w:hAnsi="Times New Roman" w:cs="Times New Roman"/>
        </w:rPr>
      </w:pPr>
      <w:r>
        <w:rPr>
          <w:rFonts w:ascii="Times New Roman" w:hAnsi="Times New Roman" w:cs="Times New Roman"/>
        </w:rPr>
        <w:t>Fonte www.facts.org.cn</w:t>
      </w:r>
    </w:p>
    <w:sectPr>
      <w:pgSz w:w="11906" w:h="16838"/>
      <w:pgMar w:top="1417" w:right="1134"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83"/>
    <w:rsid w:val="0008624D"/>
    <w:rsid w:val="000C5920"/>
    <w:rsid w:val="00110C09"/>
    <w:rsid w:val="00113D15"/>
    <w:rsid w:val="00146D7D"/>
    <w:rsid w:val="0022429E"/>
    <w:rsid w:val="002B6182"/>
    <w:rsid w:val="00302883"/>
    <w:rsid w:val="00334F6A"/>
    <w:rsid w:val="003779E8"/>
    <w:rsid w:val="003A357E"/>
    <w:rsid w:val="00426BE7"/>
    <w:rsid w:val="00432078"/>
    <w:rsid w:val="00484129"/>
    <w:rsid w:val="00663711"/>
    <w:rsid w:val="006933BB"/>
    <w:rsid w:val="006A4EBA"/>
    <w:rsid w:val="006C5980"/>
    <w:rsid w:val="0071571F"/>
    <w:rsid w:val="00772A2E"/>
    <w:rsid w:val="007B2139"/>
    <w:rsid w:val="007F6A6C"/>
    <w:rsid w:val="00881820"/>
    <w:rsid w:val="00903E7A"/>
    <w:rsid w:val="00932888"/>
    <w:rsid w:val="00945280"/>
    <w:rsid w:val="009771AB"/>
    <w:rsid w:val="009C3E3C"/>
    <w:rsid w:val="00BB00C9"/>
    <w:rsid w:val="00C127DA"/>
    <w:rsid w:val="00CC0FC2"/>
    <w:rsid w:val="00E81B38"/>
    <w:rsid w:val="00EB1369"/>
    <w:rsid w:val="00EB6CED"/>
    <w:rsid w:val="00EC17EA"/>
    <w:rsid w:val="00EE607D"/>
    <w:rsid w:val="00F1290C"/>
    <w:rsid w:val="00F91515"/>
    <w:rsid w:val="00FA2824"/>
    <w:rsid w:val="00FF7827"/>
    <w:rsid w:val="3B63589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t-IT" w:eastAsia="en-US" w:bidi="ar-SA"/>
    </w:rPr>
  </w:style>
  <w:style w:type="character" w:default="1" w:styleId="5">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819"/>
        <w:tab w:val="right" w:pos="9638"/>
      </w:tabs>
      <w:spacing w:after="0" w:line="240" w:lineRule="auto"/>
    </w:pPr>
  </w:style>
  <w:style w:type="paragraph" w:styleId="3">
    <w:name w:val="header"/>
    <w:basedOn w:val="1"/>
    <w:link w:val="9"/>
    <w:unhideWhenUsed/>
    <w:uiPriority w:val="99"/>
    <w:pPr>
      <w:tabs>
        <w:tab w:val="center" w:pos="4819"/>
        <w:tab w:val="right" w:pos="9638"/>
      </w:tabs>
      <w:spacing w:after="0" w:line="240" w:lineRule="auto"/>
    </w:pPr>
  </w:style>
  <w:style w:type="paragraph" w:styleId="4">
    <w:name w:val="footnote text"/>
    <w:basedOn w:val="1"/>
    <w:link w:val="11"/>
    <w:semiHidden/>
    <w:unhideWhenUsed/>
    <w:uiPriority w:val="99"/>
    <w:pPr>
      <w:spacing w:after="0" w:line="240" w:lineRule="auto"/>
    </w:pPr>
    <w:rPr>
      <w:sz w:val="20"/>
      <w:szCs w:val="20"/>
    </w:rPr>
  </w:style>
  <w:style w:type="character" w:styleId="6">
    <w:name w:val="Hyperlink"/>
    <w:basedOn w:val="5"/>
    <w:unhideWhenUsed/>
    <w:uiPriority w:val="99"/>
    <w:rPr>
      <w:color w:val="0000FF" w:themeColor="hyperlink"/>
      <w:u w:val="single"/>
      <w14:textFill>
        <w14:solidFill>
          <w14:schemeClr w14:val="hlink"/>
        </w14:solidFill>
      </w14:textFill>
    </w:rPr>
  </w:style>
  <w:style w:type="character" w:styleId="7">
    <w:name w:val="footnote reference"/>
    <w:basedOn w:val="5"/>
    <w:semiHidden/>
    <w:unhideWhenUsed/>
    <w:uiPriority w:val="99"/>
    <w:rPr>
      <w:vertAlign w:val="superscript"/>
    </w:rPr>
  </w:style>
  <w:style w:type="character" w:customStyle="1" w:styleId="9">
    <w:name w:val="Intestazione Carattere"/>
    <w:basedOn w:val="5"/>
    <w:link w:val="3"/>
    <w:uiPriority w:val="99"/>
  </w:style>
  <w:style w:type="character" w:customStyle="1" w:styleId="10">
    <w:name w:val="Piè di pagina Carattere"/>
    <w:basedOn w:val="5"/>
    <w:link w:val="2"/>
    <w:uiPriority w:val="99"/>
  </w:style>
  <w:style w:type="character" w:customStyle="1" w:styleId="11">
    <w:name w:val="Testo nota a piè di pagina Carattere"/>
    <w:basedOn w:val="5"/>
    <w:link w:val="4"/>
    <w:semiHidden/>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1037DF-FA92-4B9D-AB4F-A49F3F6AA1DC}">
  <ds:schemaRefs/>
</ds:datastoreItem>
</file>

<file path=docProps/app.xml><?xml version="1.0" encoding="utf-8"?>
<Properties xmlns="http://schemas.openxmlformats.org/officeDocument/2006/extended-properties" xmlns:vt="http://schemas.openxmlformats.org/officeDocument/2006/docPropsVTypes">
  <Template>Normal</Template>
  <Pages>1</Pages>
  <Words>727</Words>
  <Characters>4144</Characters>
  <Lines>34</Lines>
  <Paragraphs>9</Paragraphs>
  <TotalTime>55</TotalTime>
  <ScaleCrop>false</ScaleCrop>
  <LinksUpToDate>false</LinksUpToDate>
  <CharactersWithSpaces>4862</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2018-10-01T05:23:00Z</dcterms:created>
  <dc:creator>Super</dc:creator>
  <cp:lastModifiedBy>凡宇积极人生</cp:lastModifiedBy>
  <dcterms:modified xsi:type="dcterms:W3CDTF">2018-12-17T08:37:03Z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