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widowControl w:val="0"/>
        <w:spacing w:after="0" w:line="240" w:lineRule="auto"/>
        <w:jc w:val="center"/>
        <w:rPr>
          <w:rFonts w:ascii="Times New Roman" w:hAnsi="Times New Roman" w:eastAsia="Calibri" w:cs="Times New Roman"/>
          <w:b/>
          <w:bCs/>
          <w:sz w:val="28"/>
          <w:szCs w:val="28"/>
        </w:rPr>
      </w:pPr>
      <w:r>
        <w:rPr>
          <w:rFonts w:ascii="Times New Roman" w:hAnsi="Times New Roman" w:eastAsia="Calibri" w:cs="Times New Roman"/>
          <w:b/>
          <w:bCs/>
          <w:sz w:val="28"/>
          <w:szCs w:val="28"/>
        </w:rPr>
        <w:t>LI HONGZHI: L’UOMO, I SUOI ATTI, LE SUE INVENZIONI</w:t>
      </w:r>
    </w:p>
    <w:p>
      <w:pPr>
        <w:keepNext/>
        <w:widowControl w:val="0"/>
        <w:spacing w:after="0" w:line="240" w:lineRule="auto"/>
        <w:jc w:val="center"/>
        <w:rPr>
          <w:rFonts w:ascii="Times New Roman" w:hAnsi="Times New Roman" w:eastAsia="Calibri" w:cs="Times New Roman"/>
          <w:b/>
          <w:bCs/>
          <w:sz w:val="28"/>
          <w:szCs w:val="28"/>
        </w:rPr>
      </w:pPr>
      <w:r>
        <w:rPr>
          <w:rFonts w:ascii="Times New Roman" w:hAnsi="Times New Roman" w:eastAsia="Calibri" w:cs="Times New Roman"/>
          <w:b/>
          <w:bCs/>
          <w:sz w:val="28"/>
          <w:szCs w:val="28"/>
        </w:rPr>
        <w:t>Seconda e ultima parte</w:t>
      </w:r>
    </w:p>
    <w:p>
      <w:pPr>
        <w:keepNext/>
        <w:widowControl w:val="0"/>
        <w:spacing w:after="0" w:line="240" w:lineRule="auto"/>
        <w:ind w:firstLine="113"/>
        <w:jc w:val="both"/>
        <w:rPr>
          <w:rFonts w:ascii="Garamond" w:hAnsi="Garamond" w:eastAsia="Calibri" w:cs="Times New Roman"/>
          <w:b/>
        </w:rPr>
      </w:pPr>
    </w:p>
    <w:p>
      <w:pPr>
        <w:spacing w:after="0" w:line="240" w:lineRule="auto"/>
        <w:jc w:val="both"/>
        <w:rPr>
          <w:rFonts w:ascii="Times New Roman" w:hAnsi="Times New Roman" w:cs="Times New Roman"/>
          <w:b/>
          <w:iCs/>
        </w:rPr>
      </w:pPr>
    </w:p>
    <w:p>
      <w:pPr>
        <w:spacing w:after="0" w:line="240" w:lineRule="auto"/>
        <w:jc w:val="both"/>
        <w:rPr>
          <w:rFonts w:ascii="Times New Roman" w:hAnsi="Times New Roman" w:cs="Times New Roman"/>
          <w:b/>
          <w:iCs/>
        </w:rPr>
      </w:pPr>
      <w:r>
        <w:rPr>
          <w:rFonts w:ascii="Times New Roman" w:hAnsi="Times New Roman" w:cs="Times New Roman"/>
          <w:b/>
          <w:iCs/>
        </w:rPr>
        <w:t>IV. Come Li Hongzhi abbia ricavato e accumulato ricchezza dalle attività della setta Falun Gong</w:t>
      </w: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iCs/>
        </w:rPr>
      </w:pPr>
      <w:r>
        <w:rPr>
          <w:rFonts w:ascii="Times New Roman" w:hAnsi="Times New Roman" w:cs="Times New Roman"/>
          <w:iCs/>
        </w:rPr>
        <w:t>Nel diffondere il Falun Gong, Li si è proclamato “Il più alto Buddha”, avendo trasceso tutti i desideri terreni e carnali. Ma nella vita reale, ha mostrato un’avidità enorme, acquisendo immense ricchezze nel giro di pochi anni.</w:t>
      </w:r>
    </w:p>
    <w:p>
      <w:pPr>
        <w:spacing w:after="0" w:line="240" w:lineRule="auto"/>
        <w:jc w:val="both"/>
        <w:rPr>
          <w:rFonts w:ascii="Times New Roman" w:hAnsi="Times New Roman" w:cs="Times New Roman"/>
          <w:iCs/>
        </w:rPr>
      </w:pPr>
      <w:r>
        <w:rPr>
          <w:rFonts w:ascii="Times New Roman" w:hAnsi="Times New Roman" w:cs="Times New Roman"/>
          <w:iCs/>
        </w:rPr>
        <w:t>I primi seguaci di Li hanno testimoniato che, nella fase iniziale della diffusione del Falun Gong, Li ha attratto seguaci pretendendo di ‘aver curato’ i loro disturbi e aiutandoli a migliorare la loro salute. Anche se ha affermato che stava dando un trattamento gratuito, c’era una speciale “scatola per le donazioni” a casa sua e ‘suggeriva’ ai suoi assistenti di dire a ogni paziente di donare almeno 100 yuan per ogni visita.</w:t>
      </w:r>
    </w:p>
    <w:p>
      <w:pPr>
        <w:spacing w:after="0" w:line="240" w:lineRule="auto"/>
        <w:jc w:val="both"/>
        <w:rPr>
          <w:rFonts w:ascii="Times New Roman" w:hAnsi="Times New Roman" w:cs="Times New Roman"/>
          <w:iCs/>
        </w:rPr>
      </w:pPr>
      <w:r>
        <w:rPr>
          <w:rFonts w:ascii="Times New Roman" w:hAnsi="Times New Roman" w:cs="Times New Roman"/>
          <w:iCs/>
        </w:rPr>
        <w:t>Li ha anche raccolto una grande quantità di denaro dai corsi di formazione. Dal 1993 al 1994, ha riferito di aver guadagnato 428.300 yuan</w:t>
      </w:r>
      <w:r>
        <w:rPr>
          <w:rStyle w:val="7"/>
          <w:rFonts w:ascii="Times New Roman" w:hAnsi="Times New Roman" w:cs="Times New Roman"/>
          <w:iCs/>
        </w:rPr>
        <w:footnoteReference w:id="0"/>
      </w:r>
      <w:r>
        <w:rPr>
          <w:rFonts w:ascii="Times New Roman" w:hAnsi="Times New Roman" w:cs="Times New Roman"/>
          <w:iCs/>
        </w:rPr>
        <w:t xml:space="preserve"> a Changchun dall’insegnamento degli esercizi del Falun Gong e dalle vendite dei libri ad essi collegati. Nel frattempo, ha guadagnato altri 789.000 yuan in altre parti della Cina dalle lezioni a pagamento. Il costo di ammissione alle sue lezioni di Harbin era alto, 53 yuan, una cifra non trascurabile per un ‘bene’ effimero come una conferenza; il che ha reso possibile un guadagno netto di 200.000 yuan in pochi giorni.</w:t>
      </w:r>
    </w:p>
    <w:p>
      <w:pPr>
        <w:spacing w:after="0" w:line="240" w:lineRule="auto"/>
        <w:jc w:val="both"/>
        <w:rPr>
          <w:rFonts w:ascii="Times New Roman" w:hAnsi="Times New Roman" w:cs="Times New Roman"/>
          <w:iCs/>
        </w:rPr>
      </w:pPr>
      <w:r>
        <w:rPr>
          <w:rFonts w:ascii="Times New Roman" w:hAnsi="Times New Roman" w:cs="Times New Roman"/>
          <w:iCs/>
        </w:rPr>
        <w:t>In seguito, Li Hongzhi ha affermato che “solo leggendo libri, guardando video e ascoltando nastri, le persone possono imparare bene il Falun Gong”. Questo eliminava del tutto la ‘necessità’ della sua presenza di persona e moltiplicava esponenzialmente la possibilità di ‘spremere’ economicamente gli adepti della setta.</w:t>
      </w:r>
    </w:p>
    <w:p>
      <w:pPr>
        <w:spacing w:after="0" w:line="240" w:lineRule="auto"/>
        <w:jc w:val="both"/>
        <w:rPr>
          <w:rFonts w:ascii="Times New Roman" w:hAnsi="Times New Roman" w:cs="Times New Roman"/>
          <w:iCs/>
        </w:rPr>
      </w:pPr>
      <w:r>
        <w:rPr>
          <w:rFonts w:ascii="Times New Roman" w:hAnsi="Times New Roman" w:cs="Times New Roman"/>
          <w:iCs/>
        </w:rPr>
        <w:t>Così, ha pubblicato un gran numero di libri, cassette, videocassette e videoCD con i suoi insegnamenti e li ha venduti ai praticanti del Falun Gong al prezzo di 300 yuan per ciascun ‘set’. Praticamente con questo cambiamento ogni ‘set’ gli garantiva il guadagno di ben sei conferenze (alle quali, in passato, doveva presenziare di persona). </w:t>
      </w:r>
    </w:p>
    <w:p>
      <w:pPr>
        <w:spacing w:after="0" w:line="240" w:lineRule="auto"/>
        <w:jc w:val="both"/>
        <w:rPr>
          <w:rFonts w:ascii="Times New Roman" w:hAnsi="Times New Roman" w:cs="Times New Roman"/>
          <w:iCs/>
        </w:rPr>
      </w:pPr>
      <w:r>
        <w:rPr>
          <w:rFonts w:ascii="Times New Roman" w:hAnsi="Times New Roman" w:cs="Times New Roman"/>
          <w:iCs/>
        </w:rPr>
        <w:t>Si vantava che il suo “ritratto” e il “distint</w:t>
      </w:r>
      <w:bookmarkStart w:id="0" w:name="_GoBack"/>
      <w:bookmarkEnd w:id="0"/>
      <w:r>
        <w:rPr>
          <w:rFonts w:ascii="Times New Roman" w:hAnsi="Times New Roman" w:cs="Times New Roman"/>
          <w:iCs/>
        </w:rPr>
        <w:t>ivo del Falun Gong” con la sua immagine avevano un “effetto miracoloso e ispiratore” e incoraggiava le persone a comprarli. Negli ultimi anni, ha inventato nuovi prodotti del Falun Gong come vestiti speciali e cuscini per i praticanti del Falun Gong e ha pubblicato i suoi libri in “edizioni deluxe” a prezzi più alti. Ha anche pubblicizzato slogan come “nessuna donazione, nessun guadagno” e “piccoli input per grandi benefici”, ottenendo così varie “donazioni” da parte di innumerevoli professionisti.</w:t>
      </w:r>
    </w:p>
    <w:p>
      <w:pPr>
        <w:spacing w:after="0" w:line="240" w:lineRule="auto"/>
        <w:jc w:val="both"/>
        <w:rPr>
          <w:rFonts w:ascii="Times New Roman" w:hAnsi="Times New Roman" w:cs="Times New Roman"/>
          <w:iCs/>
        </w:rPr>
      </w:pPr>
      <w:r>
        <w:rPr>
          <w:rFonts w:ascii="Times New Roman" w:hAnsi="Times New Roman" w:cs="Times New Roman"/>
          <w:iCs/>
        </w:rPr>
        <w:t>Indagini dettagliate stanno andando avanti sulle rendite finanziare ottenute da Hongzhi con questi metodi. I risultati preliminari mostrano che Li ha diverse case di lusso a Pechino e Changchun intestate coi nomi dei suoi parenti, oltre a numerose automobili, tutte quante berline di lusso e limousine. Attraverso il Falun Gong Hongzhi ha accumulato un’enorme ricchezza, sulla quale ha integralmente eluso enormi quantità di tasse.</w:t>
      </w: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b/>
          <w:iCs/>
        </w:rPr>
      </w:pPr>
      <w:r>
        <w:rPr>
          <w:rFonts w:ascii="Times New Roman" w:hAnsi="Times New Roman" w:cs="Times New Roman"/>
          <w:b/>
          <w:iCs/>
        </w:rPr>
        <w:t>V. Li Hongzhi e l’incidente universitario del 25 aprile 1999</w:t>
      </w: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iCs/>
        </w:rPr>
      </w:pPr>
      <w:r>
        <w:rPr>
          <w:rFonts w:ascii="Times New Roman" w:hAnsi="Times New Roman" w:cs="Times New Roman"/>
          <w:iCs/>
        </w:rPr>
        <w:t>Il 25 aprile 1999, oltre 10.000 praticanti del Falun Gong si sono radunati fuori da Zhongnanhai, sede del Governo centrale a Pechino, in una dimostrazione illegale che ha seriamente disturbato l’ordine pubblico e la vita normale dei residenti, provocando un effetto deleterio in patria e all’estero.</w:t>
      </w:r>
    </w:p>
    <w:p>
      <w:pPr>
        <w:spacing w:after="0" w:line="240" w:lineRule="auto"/>
        <w:jc w:val="both"/>
        <w:rPr>
          <w:rFonts w:ascii="Times New Roman" w:hAnsi="Times New Roman" w:cs="Times New Roman"/>
          <w:iCs/>
        </w:rPr>
      </w:pPr>
      <w:r>
        <w:rPr>
          <w:rFonts w:ascii="Times New Roman" w:hAnsi="Times New Roman" w:cs="Times New Roman"/>
          <w:iCs/>
        </w:rPr>
        <w:t xml:space="preserve">Il 2 maggio, Li Hongzhi è stato intervistato dalla </w:t>
      </w:r>
      <w:r>
        <w:rPr>
          <w:rFonts w:ascii="Times New Roman" w:hAnsi="Times New Roman" w:cs="Times New Roman"/>
          <w:i/>
          <w:iCs/>
        </w:rPr>
        <w:t>Australian Broadcasting Commission</w:t>
      </w:r>
      <w:r>
        <w:rPr>
          <w:rFonts w:ascii="Times New Roman" w:hAnsi="Times New Roman" w:cs="Times New Roman"/>
          <w:iCs/>
        </w:rPr>
        <w:t xml:space="preserve">, </w:t>
      </w:r>
      <w:r>
        <w:rPr>
          <w:rFonts w:ascii="Times New Roman" w:hAnsi="Times New Roman" w:cs="Times New Roman"/>
          <w:i/>
          <w:iCs/>
        </w:rPr>
        <w:t>Sydney Morning</w:t>
      </w:r>
      <w:r>
        <w:rPr>
          <w:rFonts w:ascii="Times New Roman" w:hAnsi="Times New Roman" w:cs="Times New Roman"/>
          <w:iCs/>
        </w:rPr>
        <w:t xml:space="preserve"> </w:t>
      </w:r>
      <w:r>
        <w:rPr>
          <w:rFonts w:ascii="Times New Roman" w:hAnsi="Times New Roman" w:cs="Times New Roman"/>
          <w:i/>
          <w:iCs/>
        </w:rPr>
        <w:t>Herald</w:t>
      </w:r>
      <w:r>
        <w:rPr>
          <w:rFonts w:ascii="Times New Roman" w:hAnsi="Times New Roman" w:cs="Times New Roman"/>
          <w:iCs/>
        </w:rPr>
        <w:t xml:space="preserve"> e </w:t>
      </w:r>
      <w:r>
        <w:rPr>
          <w:rFonts w:ascii="Times New Roman" w:hAnsi="Times New Roman" w:cs="Times New Roman"/>
          <w:i/>
          <w:iCs/>
        </w:rPr>
        <w:t>Agence France Presse</w:t>
      </w:r>
      <w:r>
        <w:rPr>
          <w:rFonts w:ascii="Times New Roman" w:hAnsi="Times New Roman" w:cs="Times New Roman"/>
          <w:iCs/>
        </w:rPr>
        <w:t>. In tale occasione il ‘santone’ ha detto ai corrispondenti stranieri: “Non sapevo nulla in anticipo dell’incidente a Pechino in quanto ero in viaggio dagli Stati Uniti all’Australia”. Ha poi aggiunto: “non l’ho saputo fino a quando non ero a Brisbane”, cercando così di eludere ogni responsabilità per i gravi fatti. Alla fine di aprile, quando Li è stato intervistato per telefono dal corrispondente di Shanghai dell’</w:t>
      </w:r>
      <w:r>
        <w:rPr>
          <w:rFonts w:ascii="Times New Roman" w:hAnsi="Times New Roman" w:cs="Times New Roman"/>
          <w:i/>
          <w:iCs/>
        </w:rPr>
        <w:t>Asian Wall Street Journal</w:t>
      </w:r>
      <w:r>
        <w:rPr>
          <w:rFonts w:ascii="Times New Roman" w:hAnsi="Times New Roman" w:cs="Times New Roman"/>
          <w:iCs/>
        </w:rPr>
        <w:t>, ha anche negato di essere ispiratore dell’evento Zhongnanhai, insistendo sul fatto che non ne sapeva nulla.</w:t>
      </w:r>
    </w:p>
    <w:p>
      <w:pPr>
        <w:spacing w:after="0" w:line="240" w:lineRule="auto"/>
        <w:jc w:val="both"/>
        <w:rPr>
          <w:rFonts w:ascii="Times New Roman" w:hAnsi="Times New Roman" w:cs="Times New Roman"/>
          <w:iCs/>
        </w:rPr>
      </w:pPr>
      <w:r>
        <w:rPr>
          <w:rFonts w:ascii="Times New Roman" w:hAnsi="Times New Roman" w:cs="Times New Roman"/>
          <w:iCs/>
        </w:rPr>
        <w:t>Ma questo non era vero. Ci sono prove considerevoli e lampanti che Li Hongzhi fosse a Pechino il giorno prima dell’incidente. E non è mai stato in viaggio dagli Stati Uniti all’Australia quando i praticanti del Falun Gong stavano stringendosi intorno a Zhongnanhai il 25 aprile.</w:t>
      </w:r>
    </w:p>
    <w:p>
      <w:pPr>
        <w:spacing w:after="0" w:line="240" w:lineRule="auto"/>
        <w:jc w:val="both"/>
        <w:rPr>
          <w:rFonts w:ascii="Times New Roman" w:hAnsi="Times New Roman" w:cs="Times New Roman"/>
          <w:iCs/>
        </w:rPr>
      </w:pPr>
      <w:r>
        <w:rPr>
          <w:rFonts w:ascii="Times New Roman" w:hAnsi="Times New Roman" w:cs="Times New Roman"/>
          <w:iCs/>
        </w:rPr>
        <w:t xml:space="preserve">Il 19 aprile, </w:t>
      </w:r>
      <w:r>
        <w:rPr>
          <w:rFonts w:ascii="Times New Roman" w:hAnsi="Times New Roman" w:cs="Times New Roman"/>
          <w:i/>
          <w:iCs/>
        </w:rPr>
        <w:t>Teenager Science-Technology Outlook</w:t>
      </w:r>
      <w:r>
        <w:rPr>
          <w:rFonts w:ascii="Times New Roman" w:hAnsi="Times New Roman" w:cs="Times New Roman"/>
          <w:iCs/>
        </w:rPr>
        <w:t>, una rivista della Tianjin Normal University, conteneva un articolo contro la pratica del Qigong da parte dei giovani, scritto dal Prof. He Zuoxiu, dell’Accademia delle Scienze cinese. Alcuni praticanti del Falun Gong di Tianjin si sono offesi per l’articolo e hanno inscenato una protesta all’Università. Il 22 aprile, il numero dei partecipanti ha superato le 3.000 persone, che hanno seriamente compromesso la normale vita e l’ordine di insegnamento nel campus.</w:t>
      </w:r>
    </w:p>
    <w:p>
      <w:pPr>
        <w:spacing w:after="0" w:line="240" w:lineRule="auto"/>
        <w:jc w:val="both"/>
        <w:rPr>
          <w:rFonts w:ascii="Times New Roman" w:hAnsi="Times New Roman" w:cs="Times New Roman"/>
          <w:iCs/>
        </w:rPr>
      </w:pPr>
      <w:r>
        <w:rPr>
          <w:rFonts w:ascii="Times New Roman" w:hAnsi="Times New Roman" w:cs="Times New Roman"/>
          <w:iCs/>
        </w:rPr>
        <w:t>Proprio in quel momento, Li Hongzhi improvvisamente tornò in Cina come uomo d’affari tramite il volo 087 dell’American Northwest Airlines, raggiungendo Pechino alle 17:35 il 22 aprile. Poi, dopo un soggiorno di 44 ore, partì di fretta per Hong Kong alle 13:30 del 24 aprile col volo Air China CA109. Entrambe le schede di entrata e di uscita sono state compilate dallo stesso Li Hongzhi.</w:t>
      </w:r>
    </w:p>
    <w:p>
      <w:pPr>
        <w:spacing w:after="0" w:line="240" w:lineRule="auto"/>
        <w:jc w:val="both"/>
        <w:rPr>
          <w:rFonts w:ascii="Times New Roman" w:hAnsi="Times New Roman" w:cs="Times New Roman"/>
          <w:iCs/>
        </w:rPr>
      </w:pPr>
      <w:r>
        <w:rPr>
          <w:rFonts w:ascii="Times New Roman" w:hAnsi="Times New Roman" w:cs="Times New Roman"/>
          <w:iCs/>
        </w:rPr>
        <w:t>Il 23 aprile, il secondo giorno dopo essere entrato in Cina, il raduno dei praticanti del Falun Gong alla Tianjin Normal University è cresciuto e il numero di praticanti è arrivato a più di 6.300. La mattina del 24 aprile, mentre Li era ancora a Pechino, il gruppo di praticanti del Falun Gong a Pechino aveva ricevuto notizie che i praticanti dovevano andare a Zhongnanhai per un “esercizio di gruppo” il 25 aprile.</w:t>
      </w:r>
    </w:p>
    <w:p>
      <w:pPr>
        <w:spacing w:after="0" w:line="240" w:lineRule="auto"/>
        <w:jc w:val="both"/>
        <w:rPr>
          <w:rFonts w:ascii="Times New Roman" w:hAnsi="Times New Roman" w:cs="Times New Roman"/>
          <w:iCs/>
        </w:rPr>
      </w:pPr>
      <w:r>
        <w:rPr>
          <w:rFonts w:ascii="Times New Roman" w:hAnsi="Times New Roman" w:cs="Times New Roman"/>
          <w:iCs/>
        </w:rPr>
        <w:t>Quando più di 10.000 persone si sono presentate intorno a Zhongnanhai il 25 aprile, Li era a Hong Kong. Non è partito per Brisbane fino alle 22:15 del 27 aprile col Dragonair Flight CX103.</w:t>
      </w:r>
    </w:p>
    <w:p>
      <w:pPr>
        <w:spacing w:after="0" w:line="240" w:lineRule="auto"/>
        <w:jc w:val="both"/>
        <w:rPr>
          <w:rFonts w:ascii="Times New Roman" w:hAnsi="Times New Roman" w:cs="Times New Roman"/>
          <w:iCs/>
        </w:rPr>
      </w:pPr>
      <w:r>
        <w:rPr>
          <w:rFonts w:ascii="Times New Roman" w:hAnsi="Times New Roman" w:cs="Times New Roman"/>
          <w:iCs/>
        </w:rPr>
        <w:t>Quindi, si può concludere che quando Li Hongzhi ha affermato di “non sapere nulla” riguardo al raduno illegale, stava mentendo.</w:t>
      </w: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b/>
          <w:iCs/>
        </w:rPr>
      </w:pPr>
      <w:r>
        <w:rPr>
          <w:rFonts w:ascii="Times New Roman" w:hAnsi="Times New Roman" w:cs="Times New Roman"/>
          <w:b/>
          <w:iCs/>
        </w:rPr>
        <w:t>VI. Danni procurati dagli errori di Li Hongzhi</w:t>
      </w: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iCs/>
        </w:rPr>
      </w:pPr>
      <w:r>
        <w:rPr>
          <w:rFonts w:ascii="Times New Roman" w:hAnsi="Times New Roman" w:cs="Times New Roman"/>
          <w:iCs/>
        </w:rPr>
        <w:t>Nei suoi libri, incluso lo “Zhuan Falun” (Girare la Ruota del Dharma), e in molti dei suoi “sermoni”, Li sosteneva che esisteva una specie di candida coltre, chiamato “de” (moralità), insieme a un’immagine speculare che era scura , chiamato “ye” (il male). Ha detto che “mise il Falun (Ruota del Dharma) nelle pance dei praticanti mentre insegnava”, e “quando la ruota gira in avanti, assorbirà energia dall’Universo e la fornirà al tuo corpo, il che significa salvarti dal peccato; quando scorre indietro, scarica energia per beneficiare tutti gli altri al tuo fianco, cioè per salvare gli altri dal peccato”.</w:t>
      </w:r>
    </w:p>
    <w:p>
      <w:pPr>
        <w:spacing w:after="0" w:line="240" w:lineRule="auto"/>
        <w:jc w:val="both"/>
        <w:rPr>
          <w:rFonts w:ascii="Times New Roman" w:hAnsi="Times New Roman" w:cs="Times New Roman"/>
          <w:iCs/>
        </w:rPr>
      </w:pPr>
      <w:r>
        <w:rPr>
          <w:rFonts w:ascii="Times New Roman" w:hAnsi="Times New Roman" w:cs="Times New Roman"/>
          <w:iCs/>
        </w:rPr>
        <w:t>Praticando il Falun Gong, ha detto, le persone potrebbero esserne aiutate. Potrebbero migliorare il loro “de” e ridurre la forza “ye”, purificare i loro corpi e raggiungere l’assoluta “illuminazione e immortalità”. I praticanti potrebbero alla fine raggiungere la salvezza e raggiungere il “Regno Celeste” o Paradiso. Li ha anche parlato di Karma, o predestinazione, e ha detto che “la malattia e altre sofferenze erano castighi e punizioni per le cattive azioni che si sono compiute in passato o in una vita passata, e sopportando questa sofferenza si può ripagare il suo debito contratto con esse”. Ha detto che “prendere medicine mentre si pratica significa non credere che la pratica possa curare la malattia” e “chiunque crede e pratica il Falun Gong non ha bisogno di prendere medicine per curare le malattie”. Li ha chiamato le persone che hanno cercato di persuadere gli altri a non praticare i “demoni” del Falun Gong, dicendo che hanno danneggiato la Falun Dafa e hanno impedito alle persone di raggiungere la “salvezza”.</w:t>
      </w:r>
    </w:p>
    <w:p>
      <w:pPr>
        <w:spacing w:after="0" w:line="240" w:lineRule="auto"/>
        <w:jc w:val="both"/>
        <w:rPr>
          <w:rFonts w:ascii="Times New Roman" w:hAnsi="Times New Roman" w:cs="Times New Roman"/>
          <w:iCs/>
        </w:rPr>
      </w:pPr>
      <w:r>
        <w:rPr>
          <w:rFonts w:ascii="Times New Roman" w:hAnsi="Times New Roman" w:cs="Times New Roman"/>
          <w:iCs/>
        </w:rPr>
        <w:t>Come risultato degli errori malevoli di Li e del comportamento ingannevole da lui tenuto, molti praticanti del Falun Gong si sono rifiutati di andare in ospedale o di prendere medicine per le loro malattie, e alcuni hanno perso la vita a causa del ritardo nel trattamento. Alcuni si suicidarono o persero la sanità mentale dopo aver praticato il Falun Gong. Alcuni si sono persino macchiati di delitti. Li Hongzhi non ha portato salvezza a questi suoi seguaci, ma li ha portati invece a una fine disastrosa e miserabile. Il Falun Gong ha fatto enormi danni sia alla salute mentale che fisica delle persone. Prendendo i casi verificatisi nei due ospedali mentali di Pechino, nel 1996, nove pazienti furono ammessi con gravi problemi psicologici dopo aver praticato il Falun Gong. Il numero è salito a 10 nel 1997 e 22 nel 1998. Nella prima metà del 1999, essi erano 16.</w:t>
      </w: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iCs/>
        </w:rPr>
      </w:pPr>
    </w:p>
    <w:p>
      <w:pPr>
        <w:spacing w:after="0" w:line="240" w:lineRule="auto"/>
        <w:jc w:val="both"/>
        <w:rPr>
          <w:rFonts w:ascii="Times New Roman" w:hAnsi="Times New Roman" w:cs="Times New Roman"/>
        </w:rPr>
      </w:pPr>
      <w:r>
        <w:rPr>
          <w:rFonts w:ascii="Times New Roman" w:hAnsi="Times New Roman" w:cs="Times New Roman"/>
        </w:rPr>
        <w:t>Fonte “</w:t>
      </w:r>
      <w:r>
        <w:rPr>
          <w:rFonts w:ascii="Times New Roman" w:hAnsi="Times New Roman" w:cs="Times New Roman"/>
          <w:iCs/>
        </w:rPr>
        <w:t>The Chinese Press”</w:t>
      </w:r>
    </w:p>
    <w:sectPr>
      <w:pgSz w:w="11906" w:h="16838"/>
      <w:pgMar w:top="1417" w:right="1134" w:bottom="1134" w:left="1134"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Garamond">
    <w:altName w:val="PMingLiU-ExtB"/>
    <w:panose1 w:val="02020404030301010803"/>
    <w:charset w:val="00"/>
    <w:family w:val="roman"/>
    <w:pitch w:val="default"/>
    <w:sig w:usb0="00000000" w:usb1="00000000" w:usb2="00000000" w:usb3="00000000" w:csb0="0000009F" w:csb1="00000000"/>
  </w:font>
  <w:font w:name="PMingLiU-ExtB">
    <w:panose1 w:val="02020500000000000000"/>
    <w:charset w:val="88"/>
    <w:family w:val="auto"/>
    <w:pitch w:val="default"/>
    <w:sig w:usb0="8000002F" w:usb1="02000008" w:usb2="00000000"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4"/>
        <w:rPr>
          <w:rFonts w:ascii="Times New Roman" w:hAnsi="Times New Roman" w:cs="Times New Roman"/>
        </w:rPr>
      </w:pPr>
      <w:r>
        <w:rPr>
          <w:rStyle w:val="7"/>
          <w:rFonts w:ascii="Times New Roman" w:hAnsi="Times New Roman" w:cs="Times New Roman"/>
        </w:rPr>
        <w:footnoteRef/>
      </w:r>
      <w:r>
        <w:rPr>
          <w:rFonts w:ascii="Times New Roman" w:hAnsi="Times New Roman" w:cs="Times New Roman"/>
        </w:rPr>
        <w:t xml:space="preserve"> Oggi per arrivare ad un euro occorrono circa 8 yuan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883"/>
    <w:rsid w:val="0008624D"/>
    <w:rsid w:val="000A2180"/>
    <w:rsid w:val="000C5920"/>
    <w:rsid w:val="00110C09"/>
    <w:rsid w:val="00146D7D"/>
    <w:rsid w:val="0016787B"/>
    <w:rsid w:val="001F6618"/>
    <w:rsid w:val="00223272"/>
    <w:rsid w:val="0022429E"/>
    <w:rsid w:val="00302883"/>
    <w:rsid w:val="00310927"/>
    <w:rsid w:val="00335747"/>
    <w:rsid w:val="003779E8"/>
    <w:rsid w:val="00432078"/>
    <w:rsid w:val="004807E0"/>
    <w:rsid w:val="004C5D17"/>
    <w:rsid w:val="00520947"/>
    <w:rsid w:val="00532574"/>
    <w:rsid w:val="006239F5"/>
    <w:rsid w:val="006933BB"/>
    <w:rsid w:val="006A5989"/>
    <w:rsid w:val="006C5980"/>
    <w:rsid w:val="006F0BEB"/>
    <w:rsid w:val="008027DF"/>
    <w:rsid w:val="00903E7A"/>
    <w:rsid w:val="009771AB"/>
    <w:rsid w:val="009C3E3C"/>
    <w:rsid w:val="00A3053B"/>
    <w:rsid w:val="00A34E32"/>
    <w:rsid w:val="00AD0BA9"/>
    <w:rsid w:val="00BB00C9"/>
    <w:rsid w:val="00C07715"/>
    <w:rsid w:val="00C127DA"/>
    <w:rsid w:val="00C519A8"/>
    <w:rsid w:val="00C74ADE"/>
    <w:rsid w:val="00CC0FC2"/>
    <w:rsid w:val="00D55FAC"/>
    <w:rsid w:val="00DC30E1"/>
    <w:rsid w:val="00DC73CD"/>
    <w:rsid w:val="00E17127"/>
    <w:rsid w:val="00E4523B"/>
    <w:rsid w:val="00EB6CED"/>
    <w:rsid w:val="00EC17EA"/>
    <w:rsid w:val="00EE607D"/>
    <w:rsid w:val="00F72AE4"/>
    <w:rsid w:val="00F91515"/>
    <w:rsid w:val="00FA2824"/>
    <w:rsid w:val="00FB718A"/>
    <w:rsid w:val="0B694E2B"/>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it-IT" w:eastAsia="en-US" w:bidi="ar-SA"/>
    </w:rPr>
  </w:style>
  <w:style w:type="character" w:default="1" w:styleId="5">
    <w:name w:val="Default Paragraph Font"/>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10"/>
    <w:unhideWhenUsed/>
    <w:uiPriority w:val="99"/>
    <w:pPr>
      <w:tabs>
        <w:tab w:val="center" w:pos="4819"/>
        <w:tab w:val="right" w:pos="9638"/>
      </w:tabs>
      <w:spacing w:after="0" w:line="240" w:lineRule="auto"/>
    </w:pPr>
  </w:style>
  <w:style w:type="paragraph" w:styleId="3">
    <w:name w:val="header"/>
    <w:basedOn w:val="1"/>
    <w:link w:val="9"/>
    <w:unhideWhenUsed/>
    <w:uiPriority w:val="99"/>
    <w:pPr>
      <w:tabs>
        <w:tab w:val="center" w:pos="4819"/>
        <w:tab w:val="right" w:pos="9638"/>
      </w:tabs>
      <w:spacing w:after="0" w:line="240" w:lineRule="auto"/>
    </w:pPr>
  </w:style>
  <w:style w:type="paragraph" w:styleId="4">
    <w:name w:val="footnote text"/>
    <w:basedOn w:val="1"/>
    <w:link w:val="11"/>
    <w:semiHidden/>
    <w:unhideWhenUsed/>
    <w:uiPriority w:val="99"/>
    <w:pPr>
      <w:spacing w:after="0" w:line="240" w:lineRule="auto"/>
    </w:pPr>
    <w:rPr>
      <w:sz w:val="20"/>
      <w:szCs w:val="20"/>
    </w:rPr>
  </w:style>
  <w:style w:type="character" w:styleId="6">
    <w:name w:val="Hyperlink"/>
    <w:basedOn w:val="5"/>
    <w:unhideWhenUsed/>
    <w:uiPriority w:val="99"/>
    <w:rPr>
      <w:color w:val="0000FF" w:themeColor="hyperlink"/>
      <w:u w:val="single"/>
      <w14:textFill>
        <w14:solidFill>
          <w14:schemeClr w14:val="hlink"/>
        </w14:solidFill>
      </w14:textFill>
    </w:rPr>
  </w:style>
  <w:style w:type="character" w:styleId="7">
    <w:name w:val="footnote reference"/>
    <w:basedOn w:val="5"/>
    <w:semiHidden/>
    <w:unhideWhenUsed/>
    <w:uiPriority w:val="99"/>
    <w:rPr>
      <w:vertAlign w:val="superscript"/>
    </w:rPr>
  </w:style>
  <w:style w:type="character" w:customStyle="1" w:styleId="9">
    <w:name w:val="Intestazione Carattere"/>
    <w:basedOn w:val="5"/>
    <w:link w:val="3"/>
    <w:uiPriority w:val="99"/>
  </w:style>
  <w:style w:type="character" w:customStyle="1" w:styleId="10">
    <w:name w:val="Piè di pagina Carattere"/>
    <w:basedOn w:val="5"/>
    <w:link w:val="2"/>
    <w:uiPriority w:val="99"/>
  </w:style>
  <w:style w:type="character" w:customStyle="1" w:styleId="11">
    <w:name w:val="Testo nota a piè di pagina Carattere"/>
    <w:basedOn w:val="5"/>
    <w:link w:val="4"/>
    <w:semiHidden/>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938D24-48FF-4E01-80A6-3B0EFF1FAF73}">
  <ds:schemaRefs/>
</ds:datastoreItem>
</file>

<file path=docProps/app.xml><?xml version="1.0" encoding="utf-8"?>
<Properties xmlns="http://schemas.openxmlformats.org/officeDocument/2006/extended-properties" xmlns:vt="http://schemas.openxmlformats.org/officeDocument/2006/docPropsVTypes">
  <Template>Normal</Template>
  <Pages>1</Pages>
  <Words>1282</Words>
  <Characters>7308</Characters>
  <Lines>60</Lines>
  <Paragraphs>17</Paragraphs>
  <TotalTime>22</TotalTime>
  <ScaleCrop>false</ScaleCrop>
  <LinksUpToDate>false</LinksUpToDate>
  <CharactersWithSpaces>8573</CharactersWithSpaces>
  <Application>WPS Office_11.1.0.8013_F1E327BC-269C-435d-A152-05C5408002CA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2018-11-12T08:05:00Z</dcterms:created>
  <dc:creator>Super</dc:creator>
  <cp:lastModifiedBy>凡宇积极人生</cp:lastModifiedBy>
  <dcterms:modified xsi:type="dcterms:W3CDTF">2018-12-17T08:43:42Z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